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2EA" w:rsidRDefault="00D73676" w:rsidP="00C7715B">
      <w:r>
        <w:t xml:space="preserve">                                                                                                                       Приложение № 1</w:t>
      </w:r>
    </w:p>
    <w:p w:rsidR="00D75129" w:rsidRDefault="00D75129" w:rsidP="00C7715B"/>
    <w:p w:rsidR="00D75129" w:rsidRPr="00E83CFE" w:rsidRDefault="004A3976" w:rsidP="00E83CFE">
      <w:pPr>
        <w:jc w:val="center"/>
        <w:rPr>
          <w:b/>
        </w:rPr>
      </w:pPr>
      <w:r w:rsidRPr="00E83CFE">
        <w:rPr>
          <w:b/>
        </w:rPr>
        <w:t xml:space="preserve">МОТИВИ ПО ЧЛ. 28, АЛ. </w:t>
      </w:r>
      <w:r w:rsidR="00684AF6" w:rsidRPr="00E83CFE">
        <w:rPr>
          <w:b/>
        </w:rPr>
        <w:t>2 ОТ ЗАКОНА ЗА НОРМАТИВНИТЕ АКТОВЕ КЪМ ПРОЕКТ НА НАРЕДБА ЗА ИЗМЕН</w:t>
      </w:r>
      <w:r w:rsidR="002B15A5">
        <w:rPr>
          <w:b/>
        </w:rPr>
        <w:t>ЕНИЕ И ДОПЪЛНЕНИЕ НА НАРЕДБА № 3</w:t>
      </w:r>
      <w:r w:rsidR="006B27F0">
        <w:rPr>
          <w:b/>
        </w:rPr>
        <w:t xml:space="preserve"> </w:t>
      </w:r>
      <w:r w:rsidR="002B15A5">
        <w:rPr>
          <w:b/>
        </w:rPr>
        <w:t>ЗА РЕДА И УСЛОВИЯТА ЗА ПОСТАВЯНЕ НА ПРЕМЕСТВАЕМИ ОБЕКТИ И ЕЛЕМЕНТИ ОТ ГРАДСКОТО ОБЗАВЕЖДАНЕ НА ТЕРИТОРИЯТА НА ОБЩИНА БЕЛОСЛАВ</w:t>
      </w:r>
    </w:p>
    <w:p w:rsidR="00684AF6" w:rsidRDefault="00684AF6" w:rsidP="00E83CFE">
      <w:pPr>
        <w:jc w:val="both"/>
      </w:pPr>
    </w:p>
    <w:p w:rsidR="00684AF6" w:rsidRDefault="00E83CFE" w:rsidP="00E83CFE">
      <w:pPr>
        <w:jc w:val="both"/>
        <w:rPr>
          <w:b/>
        </w:rPr>
      </w:pPr>
      <w:r w:rsidRPr="00E83CFE">
        <w:rPr>
          <w:b/>
        </w:rPr>
        <w:t>1.</w:t>
      </w:r>
      <w:r w:rsidR="00684AF6" w:rsidRPr="00E83CFE">
        <w:rPr>
          <w:b/>
        </w:rPr>
        <w:t>Причини, налагащи приемането на Наредба за измен</w:t>
      </w:r>
      <w:r w:rsidR="002B15A5">
        <w:rPr>
          <w:b/>
        </w:rPr>
        <w:t>ение и допълнение на Наредба № 3</w:t>
      </w:r>
      <w:r w:rsidR="00684AF6" w:rsidRPr="00E83CFE">
        <w:rPr>
          <w:b/>
        </w:rPr>
        <w:t xml:space="preserve"> за </w:t>
      </w:r>
      <w:r w:rsidR="002B15A5">
        <w:rPr>
          <w:b/>
        </w:rPr>
        <w:t xml:space="preserve">реда и условията за поставяне на </w:t>
      </w:r>
      <w:proofErr w:type="spellStart"/>
      <w:r w:rsidR="002B15A5">
        <w:rPr>
          <w:b/>
        </w:rPr>
        <w:t>преместваеми</w:t>
      </w:r>
      <w:proofErr w:type="spellEnd"/>
      <w:r w:rsidR="002B15A5">
        <w:rPr>
          <w:b/>
        </w:rPr>
        <w:t xml:space="preserve"> обекти и елементи от градското обзавеждане на територията на община Белослав</w:t>
      </w:r>
    </w:p>
    <w:p w:rsidR="00E83CFE" w:rsidRPr="00E83CFE" w:rsidRDefault="00E83CFE" w:rsidP="00E83CFE">
      <w:pPr>
        <w:jc w:val="both"/>
        <w:rPr>
          <w:b/>
        </w:rPr>
      </w:pPr>
    </w:p>
    <w:p w:rsidR="00684AF6" w:rsidRDefault="00684AF6" w:rsidP="00E83CFE">
      <w:pPr>
        <w:ind w:firstLine="708"/>
        <w:jc w:val="both"/>
      </w:pPr>
      <w:r>
        <w:t>С предложените текстове за изменение и допълнение на Проекта на Наредба се синхронизират текстове, касаещи новоприетия Закон за въвеждане на еврото в Република България / ЗВЕРБ – обнародван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 в сила на закона изменения и допълнения  в подзаконови нормативни актове, необходими за изпълнението му във връзка с въвеждане на еврото като парична единица на Република България. Измененията и допълненията на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за плащане на такси, санкции, глоби и други публични задължения към държавата и общините</w:t>
      </w:r>
      <w:r w:rsidR="005F59AD">
        <w:t xml:space="preserve"> в български левове, продължават да се прилагат в съответствие с предвидените в този закон плавила за </w:t>
      </w:r>
      <w:proofErr w:type="spellStart"/>
      <w:r w:rsidR="005F59AD">
        <w:t>превалутиране</w:t>
      </w:r>
      <w:proofErr w:type="spellEnd"/>
      <w:r w:rsidR="005F59AD">
        <w:t xml:space="preserve">. </w:t>
      </w:r>
    </w:p>
    <w:p w:rsidR="004A3976" w:rsidRDefault="004A3976" w:rsidP="00E83CFE">
      <w:pPr>
        <w:ind w:firstLine="708"/>
        <w:jc w:val="both"/>
      </w:pPr>
      <w:r>
        <w:t>Датата на въвеждане на еврото в Република България е датата, определена в Решение на Съвета на Европейския съюз за приемане на еврото в Република България, прието в съответствие с чл. 140, § 2 от Договора за функционирането на Европейския съюз и Регламент на Съвета на Европейския съюз, приет в съответствие с чл. 140, § 3 от договора за функционирането на Европейския съюз.</w:t>
      </w:r>
    </w:p>
    <w:p w:rsidR="004A3976" w:rsidRDefault="004A3976" w:rsidP="00E83CFE">
      <w:pPr>
        <w:ind w:firstLine="708"/>
        <w:jc w:val="both"/>
      </w:pPr>
      <w:r>
        <w:t>Административните органи, отговорни за извършването на плащания към гражданите във връзка с удовлетворяването на техни законоустановени права, следва да адаптират съдържанието на образците на документи и на издаваните от тях актове, съдържащи финансова информация, възможно най-рано след установяване на неотменимо фиксирания валутен курс между еврото и лева. Общинските администрации имат ключова роля в осигуряването на успешното преминаване към еврото поради естеството на услугите, които предоставят на гражданите. Общините следва да бъдат подготвени</w:t>
      </w:r>
      <w:r w:rsidR="00FE2D97">
        <w:t xml:space="preserve"> да осигурят безпроблемното и гладко прилагане на еврото във всички управлявани от тях публични услуги, включително чрез промени в нормативни актове.</w:t>
      </w:r>
    </w:p>
    <w:p w:rsidR="00FE2D97" w:rsidRDefault="00FE2D97" w:rsidP="00E83CFE">
      <w:pPr>
        <w:ind w:firstLine="360"/>
        <w:jc w:val="both"/>
      </w:pPr>
      <w:r>
        <w:t>Съгласно Закона за въвеждане на еврото в РБ, размерът на местните такси и цени на услуги и права се определят в български лева и евро за период от време, който започва един месец след датата на влизане в сила на решението за приемане на еврото и приключва  12 месеца след датата на въвеждането му в Република България.</w:t>
      </w: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Цели, които се поставят.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С предложените промени се цели привеждане в съответствие с действащите от по-висока степен нормативни актове – Закона за въвеждане на еврото в Република България, както и постигане на ясна регламентация в уредбата на обществените отношения.</w:t>
      </w:r>
    </w:p>
    <w:p w:rsidR="00E83CFE" w:rsidRDefault="00E83CFE" w:rsidP="00E83CFE">
      <w:pPr>
        <w:jc w:val="both"/>
      </w:pPr>
    </w:p>
    <w:p w:rsidR="00FE2D97" w:rsidRDefault="00FE2D97" w:rsidP="00E83CFE">
      <w:pPr>
        <w:jc w:val="both"/>
      </w:pPr>
    </w:p>
    <w:p w:rsidR="00FE2D97" w:rsidRPr="00E83CFE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E83CFE">
        <w:rPr>
          <w:b/>
        </w:rPr>
        <w:t>Финансови и други средства, необходими за прилагане на новата уредба.</w:t>
      </w:r>
    </w:p>
    <w:p w:rsidR="00FE2D97" w:rsidRDefault="00FE2D97" w:rsidP="00E83CFE">
      <w:pPr>
        <w:jc w:val="both"/>
      </w:pPr>
    </w:p>
    <w:p w:rsidR="00FE2D97" w:rsidRDefault="00FE2D97" w:rsidP="00E83CFE">
      <w:pPr>
        <w:ind w:firstLine="360"/>
        <w:jc w:val="both"/>
      </w:pPr>
      <w:r>
        <w:t>За прилагане на Наредбата не е необходимо разходването на допълнителни финансови и други средства.</w:t>
      </w:r>
    </w:p>
    <w:p w:rsidR="00FE2D97" w:rsidRDefault="00FE2D97" w:rsidP="00E83CFE">
      <w:pPr>
        <w:jc w:val="both"/>
      </w:pPr>
    </w:p>
    <w:p w:rsidR="00FE2D97" w:rsidRDefault="00FE2D97" w:rsidP="00E83CFE">
      <w:pPr>
        <w:pStyle w:val="a4"/>
        <w:numPr>
          <w:ilvl w:val="0"/>
          <w:numId w:val="14"/>
        </w:numPr>
        <w:jc w:val="both"/>
      </w:pPr>
      <w:r w:rsidRPr="00E83CFE">
        <w:rPr>
          <w:b/>
        </w:rPr>
        <w:t>Очаквани резултати от изменението и допълнението на наредбата</w:t>
      </w:r>
      <w:r>
        <w:t>.</w:t>
      </w:r>
    </w:p>
    <w:p w:rsidR="00E83CFE" w:rsidRDefault="00E83CFE" w:rsidP="00E83CFE">
      <w:pPr>
        <w:pStyle w:val="a4"/>
        <w:jc w:val="both"/>
      </w:pPr>
    </w:p>
    <w:p w:rsidR="00FE2D97" w:rsidRDefault="00E83CFE" w:rsidP="00E83CFE">
      <w:pPr>
        <w:ind w:firstLine="360"/>
        <w:jc w:val="both"/>
      </w:pPr>
      <w:r>
        <w:t xml:space="preserve">Очаквания резултат от Приемане на Наредбата е осигуряване на прозрачност, яснота и </w:t>
      </w:r>
      <w:r w:rsidR="00FE2D97">
        <w:t xml:space="preserve"> регулиране на правилното прилагане на нормативните актове от по-висока степен.</w:t>
      </w:r>
    </w:p>
    <w:p w:rsidR="00FE2D97" w:rsidRDefault="00FE2D97" w:rsidP="00E83CFE">
      <w:pPr>
        <w:jc w:val="both"/>
      </w:pPr>
    </w:p>
    <w:p w:rsidR="00FE2D97" w:rsidRPr="0038452D" w:rsidRDefault="00FE2D97" w:rsidP="00E83CFE">
      <w:pPr>
        <w:pStyle w:val="a4"/>
        <w:numPr>
          <w:ilvl w:val="0"/>
          <w:numId w:val="14"/>
        </w:numPr>
        <w:jc w:val="both"/>
        <w:rPr>
          <w:b/>
        </w:rPr>
      </w:pPr>
      <w:r w:rsidRPr="0038452D">
        <w:rPr>
          <w:b/>
        </w:rPr>
        <w:t>Анализ и съответствие с правото на Европейския съюз.</w:t>
      </w:r>
    </w:p>
    <w:p w:rsidR="00FE2D97" w:rsidRDefault="00FE2D97" w:rsidP="00E83CFE">
      <w:pPr>
        <w:jc w:val="both"/>
      </w:pPr>
    </w:p>
    <w:p w:rsidR="00E83CFE" w:rsidRDefault="00E83CFE" w:rsidP="0038452D">
      <w:pPr>
        <w:ind w:firstLine="360"/>
        <w:jc w:val="both"/>
      </w:pPr>
      <w:r>
        <w:t xml:space="preserve">Настоящите промени в </w:t>
      </w:r>
      <w:r w:rsidR="002B15A5" w:rsidRPr="002B15A5">
        <w:t xml:space="preserve">Наредба № 3 за реда и условията за поставяне на </w:t>
      </w:r>
      <w:proofErr w:type="spellStart"/>
      <w:r w:rsidR="002B15A5" w:rsidRPr="002B15A5">
        <w:t>преместваеми</w:t>
      </w:r>
      <w:proofErr w:type="spellEnd"/>
      <w:r w:rsidR="002B15A5" w:rsidRPr="002B15A5">
        <w:t xml:space="preserve"> обекти и елементи от градското обзавеждане на територията на община Белослав</w:t>
      </w:r>
      <w:r w:rsidR="002B15A5">
        <w:t xml:space="preserve"> </w:t>
      </w:r>
      <w:r>
        <w:t>се извършват във връзка с влязъл в сила закон, който е съобразен с европейското законодателство, то същите са в съответствие с правото на Европейския съюз.</w:t>
      </w: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E83CFE" w:rsidRDefault="00E83CFE" w:rsidP="00E83CFE">
      <w:pPr>
        <w:jc w:val="both"/>
      </w:pPr>
    </w:p>
    <w:p w:rsidR="002B15A5" w:rsidRDefault="002B15A5" w:rsidP="00E83CFE">
      <w:pPr>
        <w:jc w:val="both"/>
        <w:rPr>
          <w:b/>
        </w:rPr>
      </w:pPr>
    </w:p>
    <w:p w:rsidR="002B15A5" w:rsidRDefault="002B15A5" w:rsidP="00E83CFE">
      <w:pPr>
        <w:jc w:val="both"/>
        <w:rPr>
          <w:b/>
        </w:rPr>
      </w:pPr>
    </w:p>
    <w:p w:rsidR="00E83CFE" w:rsidRPr="0038452D" w:rsidRDefault="00E83CFE" w:rsidP="00E83CFE">
      <w:pPr>
        <w:jc w:val="both"/>
        <w:rPr>
          <w:b/>
        </w:rPr>
      </w:pPr>
      <w:bookmarkStart w:id="0" w:name="_GoBack"/>
      <w:bookmarkEnd w:id="0"/>
      <w:r w:rsidRPr="0038452D">
        <w:rPr>
          <w:b/>
        </w:rPr>
        <w:t>ДЕЯН ИВАНОВ</w:t>
      </w:r>
    </w:p>
    <w:p w:rsidR="00E83CFE" w:rsidRPr="0038452D" w:rsidRDefault="00E83CFE" w:rsidP="00FE2D97">
      <w:pPr>
        <w:rPr>
          <w:b/>
        </w:rPr>
      </w:pPr>
      <w:r w:rsidRPr="0038452D">
        <w:rPr>
          <w:b/>
        </w:rPr>
        <w:t>КМЕТ НА ОБЩИНА БЕЛОСЛАВ</w:t>
      </w:r>
    </w:p>
    <w:sectPr w:rsidR="00E83CFE" w:rsidRPr="0038452D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248" w:rsidRDefault="00006248" w:rsidP="00DE40D3">
      <w:r>
        <w:separator/>
      </w:r>
    </w:p>
  </w:endnote>
  <w:endnote w:type="continuationSeparator" w:id="0">
    <w:p w:rsidR="00006248" w:rsidRDefault="00006248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248" w:rsidRDefault="00006248" w:rsidP="00DE40D3">
      <w:r>
        <w:separator/>
      </w:r>
    </w:p>
  </w:footnote>
  <w:footnote w:type="continuationSeparator" w:id="0">
    <w:p w:rsidR="00006248" w:rsidRDefault="00006248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8AB"/>
    <w:multiLevelType w:val="hybridMultilevel"/>
    <w:tmpl w:val="F9582D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D9208E"/>
    <w:multiLevelType w:val="hybridMultilevel"/>
    <w:tmpl w:val="1250090A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E57A86"/>
    <w:multiLevelType w:val="hybridMultilevel"/>
    <w:tmpl w:val="70F298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0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  <w:num w:numId="11">
    <w:abstractNumId w:val="11"/>
  </w:num>
  <w:num w:numId="12">
    <w:abstractNumId w:val="0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06248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3032"/>
    <w:rsid w:val="001323D6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15A5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8452D"/>
    <w:rsid w:val="003B491F"/>
    <w:rsid w:val="003D127B"/>
    <w:rsid w:val="003E226B"/>
    <w:rsid w:val="00406729"/>
    <w:rsid w:val="004101D0"/>
    <w:rsid w:val="00425FBC"/>
    <w:rsid w:val="00426013"/>
    <w:rsid w:val="004476A7"/>
    <w:rsid w:val="00451F03"/>
    <w:rsid w:val="004803DA"/>
    <w:rsid w:val="00490F2B"/>
    <w:rsid w:val="004A3048"/>
    <w:rsid w:val="004A30B2"/>
    <w:rsid w:val="004A3976"/>
    <w:rsid w:val="004E5A95"/>
    <w:rsid w:val="005403BF"/>
    <w:rsid w:val="005455D8"/>
    <w:rsid w:val="00561FBA"/>
    <w:rsid w:val="00567DBD"/>
    <w:rsid w:val="0057679A"/>
    <w:rsid w:val="00587F83"/>
    <w:rsid w:val="005A686C"/>
    <w:rsid w:val="005B58F4"/>
    <w:rsid w:val="005C1890"/>
    <w:rsid w:val="005F59AD"/>
    <w:rsid w:val="006042EE"/>
    <w:rsid w:val="006234DA"/>
    <w:rsid w:val="00641A21"/>
    <w:rsid w:val="00655F8B"/>
    <w:rsid w:val="00676332"/>
    <w:rsid w:val="0068329F"/>
    <w:rsid w:val="00684AF6"/>
    <w:rsid w:val="00691E79"/>
    <w:rsid w:val="0069207B"/>
    <w:rsid w:val="006A2FDE"/>
    <w:rsid w:val="006A5866"/>
    <w:rsid w:val="006B1347"/>
    <w:rsid w:val="006B27F0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902498"/>
    <w:rsid w:val="009065BA"/>
    <w:rsid w:val="00950F3D"/>
    <w:rsid w:val="00953DB3"/>
    <w:rsid w:val="00964588"/>
    <w:rsid w:val="009A2FA7"/>
    <w:rsid w:val="009A764F"/>
    <w:rsid w:val="009B231F"/>
    <w:rsid w:val="009F4C6C"/>
    <w:rsid w:val="00A02724"/>
    <w:rsid w:val="00A10113"/>
    <w:rsid w:val="00A30CB3"/>
    <w:rsid w:val="00A37168"/>
    <w:rsid w:val="00A66E6B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3676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120C8"/>
    <w:rsid w:val="00E26DE9"/>
    <w:rsid w:val="00E301F9"/>
    <w:rsid w:val="00E373CE"/>
    <w:rsid w:val="00E43617"/>
    <w:rsid w:val="00E43D3F"/>
    <w:rsid w:val="00E614CD"/>
    <w:rsid w:val="00E7468B"/>
    <w:rsid w:val="00E83CFE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E2D97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EE54BF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A7D058-109D-41C6-871B-909ED7ECB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2025-05-23T12:15:00Z</dcterms:created>
  <dcterms:modified xsi:type="dcterms:W3CDTF">2025-05-23T12:15:00Z</dcterms:modified>
</cp:coreProperties>
</file>